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EA1FAA" w:rsidP="00EA1FA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უფროსი</w:t>
            </w:r>
            <w:r w:rsidR="00E330B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სპეციალისტი, მე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სამე</w:t>
            </w:r>
            <w:r w:rsidR="00E330B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EA1FAA" w:rsidP="00335A0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EA1FAA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B75B39">
        <w:trPr>
          <w:trHeight w:val="169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3CE" w:rsidRPr="00EB4B1E" w:rsidRDefault="0033392F" w:rsidP="005123CE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ახდენს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კლინიკური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პრაქტიკის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ეროვნული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რეკომენდაციების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გაიდლაინების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)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და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კლინიკური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მდგომარეობის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მართვის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სახელმწიფო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სტანდარტების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პროტოკოლების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)</w:t>
            </w:r>
            <w:r w:rsidR="00EB4B1E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შემუშავების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3CE" w:rsidRPr="005123CE">
              <w:rPr>
                <w:rFonts w:cs="Arial"/>
                <w:bCs/>
                <w:iCs/>
                <w:sz w:val="20"/>
                <w:szCs w:val="20"/>
              </w:rPr>
              <w:t>კოორდინაცი</w:t>
            </w:r>
            <w:proofErr w:type="spellEnd"/>
            <w:r w:rsidR="00395272">
              <w:rPr>
                <w:rFonts w:cs="Arial"/>
                <w:bCs/>
                <w:iCs/>
                <w:sz w:val="20"/>
                <w:szCs w:val="20"/>
                <w:lang w:val="ka-GE"/>
              </w:rPr>
              <w:t>ას,</w:t>
            </w:r>
            <w:r w:rsidR="008A6C97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A7CDD">
              <w:rPr>
                <w:rFonts w:cs="Arial"/>
                <w:bCs/>
                <w:iCs/>
                <w:sz w:val="20"/>
                <w:szCs w:val="20"/>
                <w:lang w:val="ka-GE"/>
              </w:rPr>
              <w:t>რომელიც მოიცავს დოკუმენტების შემუშავებ</w:t>
            </w:r>
            <w:r w:rsidR="00644AB3">
              <w:rPr>
                <w:rFonts w:cs="Arial"/>
                <w:bCs/>
                <w:iCs/>
                <w:sz w:val="20"/>
                <w:szCs w:val="20"/>
                <w:lang w:val="ka-GE"/>
              </w:rPr>
              <w:t>ი</w:t>
            </w:r>
            <w:r w:rsidR="00CA7CDD">
              <w:rPr>
                <w:rFonts w:cs="Arial"/>
                <w:bCs/>
                <w:iCs/>
                <w:sz w:val="20"/>
                <w:szCs w:val="20"/>
                <w:lang w:val="ka-GE"/>
              </w:rPr>
              <w:t>სა და დამტკიცების პროცედურებში მონაწილეობას;</w:t>
            </w:r>
          </w:p>
          <w:p w:rsidR="00BD3502" w:rsidRPr="00EB4B1E" w:rsidRDefault="0033392F" w:rsidP="00BD3502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ახდენს </w:t>
            </w:r>
            <w:r w:rsidR="00EB4B1E" w:rsidRPr="00EB4B1E">
              <w:rPr>
                <w:rFonts w:cs="Arial"/>
                <w:bCs/>
                <w:iCs/>
                <w:sz w:val="20"/>
                <w:szCs w:val="20"/>
                <w:lang w:val="ka-GE"/>
              </w:rPr>
              <w:t>სტანდარტული ოპერაციული პროცედურების (სოპი)</w:t>
            </w:r>
            <w:r w:rsidR="00EB4B1E" w:rsidRPr="00EB4B1E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EB4B1E" w:rsidRPr="00EB4B1E">
              <w:rPr>
                <w:rFonts w:cs="Arial"/>
                <w:bCs/>
                <w:iCs/>
                <w:sz w:val="20"/>
                <w:szCs w:val="20"/>
              </w:rPr>
              <w:t>შემუშავების</w:t>
            </w:r>
            <w:proofErr w:type="spellEnd"/>
            <w:r w:rsidR="00EB4B1E" w:rsidRPr="00EB4B1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B4B1E" w:rsidRPr="00EB4B1E">
              <w:rPr>
                <w:rFonts w:cs="Arial"/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="00EB4B1E" w:rsidRPr="00EB4B1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B4B1E" w:rsidRPr="00EB4B1E">
              <w:rPr>
                <w:rFonts w:cs="Arial"/>
                <w:bCs/>
                <w:iCs/>
                <w:sz w:val="20"/>
                <w:szCs w:val="20"/>
              </w:rPr>
              <w:t>კოორდინაცი</w:t>
            </w:r>
            <w:proofErr w:type="spellEnd"/>
            <w:r w:rsidR="00395272">
              <w:rPr>
                <w:rFonts w:cs="Arial"/>
                <w:bCs/>
                <w:iCs/>
                <w:sz w:val="20"/>
                <w:szCs w:val="20"/>
                <w:lang w:val="ka-GE"/>
              </w:rPr>
              <w:t>ას</w:t>
            </w:r>
            <w:r w:rsidR="00BD3502">
              <w:rPr>
                <w:rFonts w:cs="Arial"/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BD3502">
              <w:rPr>
                <w:rFonts w:cs="Arial"/>
                <w:bCs/>
                <w:iCs/>
                <w:sz w:val="20"/>
                <w:szCs w:val="20"/>
                <w:lang w:val="ka-GE"/>
              </w:rPr>
              <w:t>რომელიც მოიცავს დოკუმენტების შემუშავებისა და დამტკიცების პროცედურებში მონაწილეობას;</w:t>
            </w:r>
          </w:p>
          <w:p w:rsidR="008A6C97" w:rsidRPr="008A6C97" w:rsidRDefault="008A6C97" w:rsidP="008A6C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5123CE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სამინისტროს შესაბამის სტრუქტურულ ერთეულებ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 </w:t>
            </w:r>
            <w:r w:rsidRPr="005123CE">
              <w:rPr>
                <w:rFonts w:ascii="Sylfaen" w:hAnsi="Sylfaen" w:cs="Sylfaen"/>
                <w:sz w:val="20"/>
                <w:szCs w:val="20"/>
                <w:lang w:val="ka-GE"/>
              </w:rPr>
              <w:t>და საჯარო სამართლის იურიდიული პირებ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კოორდინაციით</w:t>
            </w:r>
            <w:r w:rsidRPr="005123C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  <w:r w:rsidR="0039527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ახდენს </w:t>
            </w:r>
            <w:proofErr w:type="spellStart"/>
            <w:r w:rsidRPr="008A6C97">
              <w:rPr>
                <w:rFonts w:ascii="Sylfaen" w:hAnsi="Sylfaen" w:cs="Sylfaen"/>
                <w:sz w:val="20"/>
                <w:szCs w:val="20"/>
              </w:rPr>
              <w:t>დიპლომისშემდგომი</w:t>
            </w:r>
            <w:proofErr w:type="spellEnd"/>
            <w:r w:rsidRPr="008A6C9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A6C97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8A6C9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A6C97">
              <w:rPr>
                <w:rFonts w:ascii="Sylfaen" w:hAnsi="Sylfaen" w:cs="Sylfaen"/>
                <w:sz w:val="20"/>
                <w:szCs w:val="20"/>
              </w:rPr>
              <w:t>განათლების</w:t>
            </w:r>
            <w:proofErr w:type="spellEnd"/>
            <w:r w:rsidRPr="008A6C9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A6C97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FD725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5123CE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395272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5123C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მართვის </w:t>
            </w:r>
            <w:r w:rsidRPr="005123C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კოორდინაცი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 უზრუნველყოფა</w:t>
            </w:r>
            <w:r w:rsidR="00395272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5123C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  <w:r w:rsidRPr="005123CE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  <w:p w:rsidR="000D76BB" w:rsidRPr="000D76BB" w:rsidRDefault="00395272" w:rsidP="00F052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ახდენს </w:t>
            </w:r>
            <w:r w:rsidR="000D76BB" w:rsidRPr="000D76BB">
              <w:rPr>
                <w:rFonts w:eastAsia="Times New Roman" w:cs="Sylfaen"/>
                <w:bCs/>
                <w:sz w:val="20"/>
                <w:szCs w:val="20"/>
                <w:lang w:val="ka-GE"/>
              </w:rPr>
              <w:t>ჯანმრთელობის დაცვის პოლიტიკის</w:t>
            </w:r>
            <w:r w:rsidR="000D76BB" w:rsidRPr="000D76BB">
              <w:rPr>
                <w:rFonts w:eastAsia="Times New Roman" w:cs="Sylfaen"/>
                <w:bCs/>
                <w:lang w:val="ka-GE"/>
              </w:rPr>
              <w:t xml:space="preserve"> </w:t>
            </w:r>
            <w:proofErr w:type="spellStart"/>
            <w:r w:rsidR="000D76BB" w:rsidRPr="000D76BB">
              <w:rPr>
                <w:rFonts w:cs="Sylfaen"/>
                <w:iCs/>
                <w:sz w:val="20"/>
                <w:szCs w:val="20"/>
              </w:rPr>
              <w:t>სამმართველოს</w:t>
            </w:r>
            <w:proofErr w:type="spellEnd"/>
            <w:r w:rsidR="000D76BB" w:rsidRPr="000D76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0D76BB" w:rsidRPr="000D76BB">
              <w:rPr>
                <w:rFonts w:cs="Sylfaen"/>
                <w:iCs/>
                <w:sz w:val="20"/>
                <w:szCs w:val="20"/>
              </w:rPr>
              <w:t>კომპეტენციას</w:t>
            </w:r>
            <w:proofErr w:type="spellEnd"/>
            <w:r w:rsidR="000D76BB" w:rsidRPr="000D76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0D76BB" w:rsidRPr="000D76BB">
              <w:rPr>
                <w:rFonts w:cs="Sylfaen"/>
                <w:iCs/>
                <w:sz w:val="20"/>
                <w:szCs w:val="20"/>
              </w:rPr>
              <w:t>მიკუთვნებული</w:t>
            </w:r>
            <w:proofErr w:type="spellEnd"/>
            <w:r w:rsidR="000D76BB" w:rsidRPr="000D76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0D76BB" w:rsidRPr="000D76BB">
              <w:rPr>
                <w:rFonts w:cs="Sylfaen"/>
                <w:iCs/>
                <w:sz w:val="20"/>
                <w:szCs w:val="20"/>
              </w:rPr>
              <w:t>საბჭოების</w:t>
            </w:r>
            <w:proofErr w:type="spellEnd"/>
            <w:r w:rsidR="000D76BB" w:rsidRPr="000D76BB">
              <w:rPr>
                <w:iCs/>
                <w:sz w:val="20"/>
                <w:szCs w:val="20"/>
              </w:rPr>
              <w:t xml:space="preserve"> </w:t>
            </w:r>
            <w:r w:rsidR="000D76BB">
              <w:rPr>
                <w:iCs/>
                <w:sz w:val="20"/>
                <w:szCs w:val="20"/>
                <w:lang w:val="ka-GE"/>
              </w:rPr>
              <w:t>(</w:t>
            </w:r>
            <w:r w:rsidR="000D76BB">
              <w:rPr>
                <w:rFonts w:cs="Sylfaen"/>
                <w:iCs/>
                <w:sz w:val="20"/>
                <w:szCs w:val="20"/>
                <w:lang w:val="ka-GE"/>
              </w:rPr>
              <w:t>საქართველოს ბიოეთიკის ეროვნული საბჭო და ტრანსპლანტაციის საბჭო</w:t>
            </w:r>
            <w:r w:rsidR="000D76BB">
              <w:rPr>
                <w:rFonts w:cs="Sylfaen"/>
                <w:iCs/>
                <w:sz w:val="20"/>
                <w:szCs w:val="20"/>
                <w:lang w:val="ka-GE"/>
              </w:rPr>
              <w:t xml:space="preserve">) </w:t>
            </w:r>
            <w:proofErr w:type="spellStart"/>
            <w:r w:rsidR="000D76BB" w:rsidRPr="000D76BB">
              <w:rPr>
                <w:rFonts w:cs="Sylfaen"/>
                <w:iCs/>
                <w:sz w:val="20"/>
                <w:szCs w:val="20"/>
              </w:rPr>
              <w:t>საქმიანობის</w:t>
            </w:r>
            <w:proofErr w:type="spellEnd"/>
            <w:r w:rsidR="000D76BB" w:rsidRPr="000D76B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0D76BB" w:rsidRPr="000D76BB">
              <w:rPr>
                <w:rFonts w:cs="Sylfaen"/>
                <w:iCs/>
                <w:sz w:val="20"/>
                <w:szCs w:val="20"/>
              </w:rPr>
              <w:t>კოორდინაცია</w:t>
            </w:r>
            <w:proofErr w:type="spellEnd"/>
            <w:r>
              <w:rPr>
                <w:rFonts w:cs="Sylfaen"/>
                <w:iCs/>
                <w:sz w:val="20"/>
                <w:szCs w:val="20"/>
                <w:lang w:val="ka-GE"/>
              </w:rPr>
              <w:t>ს</w:t>
            </w:r>
            <w:r w:rsidR="000D76BB">
              <w:rPr>
                <w:rFonts w:cs="Sylfaen"/>
                <w:iCs/>
                <w:sz w:val="20"/>
                <w:szCs w:val="20"/>
                <w:lang w:val="ka-GE"/>
              </w:rPr>
              <w:t xml:space="preserve">; </w:t>
            </w:r>
          </w:p>
          <w:p w:rsidR="000D76BB" w:rsidRPr="009776D8" w:rsidRDefault="00395272" w:rsidP="00501F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მონაწილეობ</w:t>
            </w:r>
            <w:r w:rsidR="00915DC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0D76BB"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მექანიზმების, ჯანმრთელობის დაცვის პერსონალის პროფესიული რეგულირების მექანიზმებისა და </w:t>
            </w:r>
            <w:r w:rsidR="000D76B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ინსტრუმენტების, ჯანდაცვის </w:t>
            </w:r>
            <w:r w:rsidR="000D76BB"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პერსონალის განათლებასთან დაკავშირებული მარეგულირებელი ნორმების სრულყოფის მიზნით, </w:t>
            </w:r>
            <w:r w:rsidR="00501F46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</w:t>
            </w:r>
            <w:r w:rsidR="000D76BB"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სამართლებრივი აქტების პროექტების შემუშავების</w:t>
            </w:r>
            <w:r w:rsidR="00501F46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 და არსებული ნორმატიული ბაზის სრულყოფის</w:t>
            </w:r>
            <w:r w:rsidR="000D76BB" w:rsidRPr="009776D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პროცეს</w:t>
            </w:r>
            <w:r w:rsidR="00501F46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ში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  <w:r w:rsidR="00501F46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:rsidR="005F44BE" w:rsidRPr="00CA7CDD" w:rsidRDefault="00395272" w:rsidP="00F052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მონაწილეობ</w:t>
            </w:r>
            <w:r w:rsidR="00915DC5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B106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სამინისტროს შესაბამის სტრუქტურულ ერთეულებთან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კოორდინაციით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="00EB4B1E" w:rsidRPr="00CA7CDD">
              <w:rPr>
                <w:sz w:val="20"/>
                <w:szCs w:val="20"/>
                <w:lang w:val="ka-GE"/>
              </w:rPr>
              <w:t xml:space="preserve"> 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="00EB4B1E" w:rsidRPr="00CA7CDD">
              <w:rPr>
                <w:sz w:val="20"/>
                <w:szCs w:val="20"/>
                <w:lang w:val="ka-GE"/>
              </w:rPr>
              <w:t xml:space="preserve"> 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საჭიროებების</w:t>
            </w:r>
            <w:r w:rsidR="00EB4B1E" w:rsidRPr="00CA7CDD">
              <w:rPr>
                <w:sz w:val="20"/>
                <w:szCs w:val="20"/>
                <w:lang w:val="ka-GE"/>
              </w:rPr>
              <w:t xml:space="preserve"> 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>ინტეგრაცი</w:t>
            </w:r>
            <w:r w:rsidR="00CA7CDD" w:rsidRPr="00CA7CD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ასთან დაკავშირებული </w:t>
            </w:r>
            <w:r w:rsidR="00EB4B1E" w:rsidRPr="00CA7C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</w:t>
            </w:r>
            <w:r w:rsidR="00CA7CDD" w:rsidRPr="00CA7CDD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="00B1067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(ნორმატიული და სხვა)</w:t>
            </w:r>
            <w:r w:rsidR="00CA7CDD" w:rsidRPr="00CA7CD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957F93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პროცესში;</w:t>
            </w:r>
          </w:p>
          <w:p w:rsidR="004F16BC" w:rsidRPr="00F052A7" w:rsidRDefault="004F16BC" w:rsidP="00F052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მონაწილეობს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კომპლექსური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განხილვებში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და იღებს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შუალედურ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გადაწყვეტილებებს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F052A7" w:rsidRPr="00ED7957" w:rsidRDefault="00F052A7" w:rsidP="00F052A7">
            <w:pPr>
              <w:pStyle w:val="NormalWeb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შესაბამისად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მასალების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პროდუქტების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დასკვ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მომზადებას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4F16BC" w:rsidRPr="00F052A7" w:rsidRDefault="00F052A7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შეუძლია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რთული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დავალებების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რაც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მოითხოვს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ანალიტიკურ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აზროვნებასა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დარგის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სპეციფიკის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ცოდნას</w:t>
            </w:r>
            <w:r w:rsidR="00E330B1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FB5C51" w:rsidRDefault="00E330B1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პროცესში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52A7" w:rsidRPr="00F052A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ახდენს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ოპტიმალური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ვარიანტების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შერჩევა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მიღება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უშუალო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ხელმძღვანელთან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შეთანხმები</w:t>
            </w:r>
            <w:r w:rsidR="00FB5C51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</w:t>
            </w:r>
            <w:r w:rsid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F052A7" w:rsidRPr="00ED7957" w:rsidRDefault="00F052A7" w:rsidP="00F052A7">
            <w:pPr>
              <w:pStyle w:val="NormalWeb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იურიდიულ დეპარტამენტთან და სამინისტროს შესაბამის სტრუქტურულ ერთეულებთან კოორდინაციით ახდენს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5F44BE" w:rsidRPr="005F44BE">
              <w:rPr>
                <w:rFonts w:ascii="Sylfaen" w:hAnsi="Sylfaen" w:cs="Sylfaen"/>
                <w:iCs/>
                <w:sz w:val="20"/>
                <w:szCs w:val="20"/>
              </w:rPr>
              <w:t>ჯანმრთელობის</w:t>
            </w:r>
            <w:proofErr w:type="spellEnd"/>
            <w:r w:rsidR="005F44BE" w:rsidRPr="005F44B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5F44BE" w:rsidRPr="005F44BE">
              <w:rPr>
                <w:rFonts w:ascii="Sylfaen" w:hAnsi="Sylfaen" w:cs="Sylfaen"/>
                <w:iCs/>
                <w:sz w:val="20"/>
                <w:szCs w:val="20"/>
              </w:rPr>
              <w:t>დაცვის</w:t>
            </w:r>
            <w:proofErr w:type="spellEnd"/>
            <w:r w:rsidR="005F44BE" w:rsidRPr="005F44B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5F44BE" w:rsidRPr="005F44BE">
              <w:rPr>
                <w:rFonts w:ascii="Sylfaen" w:hAnsi="Sylfaen" w:cs="Sylfaen"/>
                <w:iCs/>
                <w:sz w:val="20"/>
                <w:szCs w:val="20"/>
              </w:rPr>
              <w:t>პერსონალის</w:t>
            </w:r>
            <w:proofErr w:type="spellEnd"/>
            <w:r w:rsidR="005F44BE" w:rsidRPr="005F44B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5F44BE" w:rsidRPr="005F44BE">
              <w:rPr>
                <w:rFonts w:ascii="Sylfaen" w:hAnsi="Sylfaen" w:cs="Sylfaen"/>
                <w:iCs/>
                <w:sz w:val="20"/>
                <w:szCs w:val="20"/>
              </w:rPr>
              <w:t>პროფესიული</w:t>
            </w:r>
            <w:proofErr w:type="spellEnd"/>
            <w:r w:rsidR="005F44BE" w:rsidRPr="005F44B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5F44BE" w:rsidRPr="005F44BE">
              <w:rPr>
                <w:rFonts w:ascii="Sylfaen" w:hAnsi="Sylfaen" w:cs="Sylfaen"/>
                <w:iCs/>
                <w:sz w:val="20"/>
                <w:szCs w:val="20"/>
              </w:rPr>
              <w:t>რეგულირების</w:t>
            </w:r>
            <w:proofErr w:type="spellEnd"/>
            <w:r w:rsidR="005F44BE" w:rsidRPr="005F44BE">
              <w:rPr>
                <w:iCs/>
                <w:sz w:val="20"/>
                <w:szCs w:val="20"/>
              </w:rPr>
              <w:t xml:space="preserve"> 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სფერო</w:t>
            </w:r>
            <w:r w:rsidR="00CA7CDD">
              <w:rPr>
                <w:rFonts w:ascii="Sylfaen" w:hAnsi="Sylfaen" w:cs="Sylfaen"/>
                <w:sz w:val="20"/>
                <w:szCs w:val="20"/>
                <w:lang w:val="ka-GE"/>
              </w:rPr>
              <w:t>სთან</w:t>
            </w:r>
            <w:r w:rsidR="00AE298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(მათ შორის</w:t>
            </w:r>
            <w:r w:rsidR="005F44B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E298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სხვადასხვა </w:t>
            </w:r>
            <w:proofErr w:type="spellStart"/>
            <w:r w:rsidR="00AE2981" w:rsidRPr="00AE2981">
              <w:rPr>
                <w:rFonts w:ascii="Sylfaen" w:hAnsi="Sylfaen" w:cs="Sylfaen"/>
                <w:sz w:val="20"/>
                <w:szCs w:val="20"/>
              </w:rPr>
              <w:t>საექიმო</w:t>
            </w:r>
            <w:proofErr w:type="spellEnd"/>
            <w:r w:rsidR="00AE2981" w:rsidRPr="00AE2981">
              <w:rPr>
                <w:sz w:val="20"/>
                <w:szCs w:val="20"/>
              </w:rPr>
              <w:t xml:space="preserve"> </w:t>
            </w:r>
            <w:proofErr w:type="spellStart"/>
            <w:r w:rsidR="00AE2981" w:rsidRPr="00AE2981">
              <w:rPr>
                <w:rFonts w:ascii="Sylfaen" w:hAnsi="Sylfaen" w:cs="Sylfaen"/>
                <w:sz w:val="20"/>
                <w:szCs w:val="20"/>
              </w:rPr>
              <w:t>სპეციალობათა</w:t>
            </w:r>
            <w:proofErr w:type="spellEnd"/>
            <w:r w:rsidR="00AE2981" w:rsidRPr="00AE2981">
              <w:rPr>
                <w:sz w:val="20"/>
                <w:szCs w:val="20"/>
              </w:rPr>
              <w:t xml:space="preserve"> </w:t>
            </w:r>
            <w:proofErr w:type="spellStart"/>
            <w:r w:rsidR="00AE2981" w:rsidRPr="00AE2981">
              <w:rPr>
                <w:rFonts w:ascii="Sylfaen" w:hAnsi="Sylfaen" w:cs="Sylfaen"/>
                <w:sz w:val="20"/>
                <w:szCs w:val="20"/>
              </w:rPr>
              <w:t>პროფესიულ</w:t>
            </w:r>
            <w:proofErr w:type="spellEnd"/>
            <w:r w:rsidR="00AE298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AE2981" w:rsidRPr="00AE2981">
              <w:rPr>
                <w:rFonts w:ascii="Sylfaen" w:hAnsi="Sylfaen" w:cs="Sylfaen"/>
                <w:sz w:val="20"/>
                <w:szCs w:val="20"/>
              </w:rPr>
              <w:t>კომპეტენციებ</w:t>
            </w:r>
            <w:proofErr w:type="spellEnd"/>
            <w:r w:rsidR="00AE298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თან), ასევე, </w:t>
            </w:r>
            <w:proofErr w:type="spellStart"/>
            <w:r w:rsidR="005F44BE" w:rsidRPr="005F44BE">
              <w:rPr>
                <w:rFonts w:ascii="Sylfaen" w:hAnsi="Sylfaen" w:cs="Sylfaen"/>
                <w:bCs/>
                <w:iCs/>
                <w:sz w:val="20"/>
                <w:szCs w:val="20"/>
              </w:rPr>
              <w:t>სამედიცინო</w:t>
            </w:r>
            <w:proofErr w:type="spellEnd"/>
            <w:r w:rsidR="005F44BE" w:rsidRPr="005F44B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F44BE" w:rsidRPr="005F44BE">
              <w:rPr>
                <w:rFonts w:ascii="Sylfaen" w:hAnsi="Sylfaen" w:cs="Sylfaen"/>
                <w:bCs/>
                <w:iCs/>
                <w:sz w:val="20"/>
                <w:szCs w:val="20"/>
              </w:rPr>
              <w:t>მომსახურების</w:t>
            </w:r>
            <w:proofErr w:type="spellEnd"/>
            <w:r w:rsidR="005F44BE" w:rsidRPr="005F44B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F44BE" w:rsidRPr="005F44BE">
              <w:rPr>
                <w:rFonts w:ascii="Sylfaen" w:hAnsi="Sylfaen" w:cs="Sylfaen"/>
                <w:bCs/>
                <w:iCs/>
                <w:sz w:val="20"/>
                <w:szCs w:val="20"/>
              </w:rPr>
              <w:t>მიწოდებ</w:t>
            </w:r>
            <w:proofErr w:type="spellEnd"/>
            <w:r w:rsidR="00D649C2">
              <w:rPr>
                <w:rFonts w:ascii="Sylfaen" w:hAnsi="Sylfaen" w:cs="Sylfaen"/>
                <w:bCs/>
                <w:iCs/>
                <w:sz w:val="20"/>
                <w:szCs w:val="20"/>
                <w:lang w:val="ka-GE"/>
              </w:rPr>
              <w:t>ი</w:t>
            </w:r>
            <w:r w:rsidR="005F44BE" w:rsidRPr="005F44BE">
              <w:rPr>
                <w:rFonts w:ascii="Sylfaen" w:hAnsi="Sylfaen" w:cs="Sylfaen"/>
                <w:bCs/>
                <w:iCs/>
                <w:sz w:val="20"/>
                <w:szCs w:val="20"/>
              </w:rPr>
              <w:t>ს</w:t>
            </w:r>
            <w:r w:rsidR="00CA7CDD">
              <w:rPr>
                <w:rFonts w:ascii="Sylfaen" w:hAnsi="Sylfaen" w:cs="Sylfaen"/>
                <w:bCs/>
                <w:iCs/>
                <w:sz w:val="20"/>
                <w:szCs w:val="20"/>
                <w:lang w:val="ka-GE"/>
              </w:rPr>
              <w:t>ა</w:t>
            </w:r>
            <w:r w:rsidR="005F44BE" w:rsidRPr="005F44BE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5F44BE">
              <w:rPr>
                <w:rFonts w:ascii="Sylfaen" w:hAnsi="Sylfaen" w:cs="Arial"/>
                <w:bCs/>
                <w:iCs/>
                <w:sz w:val="20"/>
                <w:szCs w:val="20"/>
                <w:lang w:val="ka-GE"/>
              </w:rPr>
              <w:t xml:space="preserve">და </w:t>
            </w:r>
            <w:r w:rsidR="005F44BE" w:rsidRPr="009776D8">
              <w:rPr>
                <w:rFonts w:ascii="Sylfaen" w:hAnsi="Sylfaen"/>
                <w:sz w:val="20"/>
                <w:szCs w:val="20"/>
                <w:lang w:val="ka-GE"/>
              </w:rPr>
              <w:t>ხარის</w:t>
            </w:r>
            <w:r w:rsidR="005F44BE">
              <w:rPr>
                <w:rFonts w:ascii="Sylfaen" w:hAnsi="Sylfaen"/>
                <w:sz w:val="20"/>
                <w:szCs w:val="20"/>
                <w:lang w:val="ka-GE"/>
              </w:rPr>
              <w:t xml:space="preserve">ხთან </w:t>
            </w:r>
            <w:proofErr w:type="spellStart"/>
            <w:r w:rsidR="005F44BE" w:rsidRPr="005F44BE">
              <w:rPr>
                <w:rFonts w:ascii="Sylfaen" w:hAnsi="Sylfaen" w:cs="Sylfaen"/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="005F44BE" w:rsidRPr="005167B4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სამართლებრივი აქტების პროექტების შემუშავებას, საჭიროების შესაბამისად, ცვლილებების პროექტების მომზადება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ED7957">
              <w:rPr>
                <w:rFonts w:ascii="Sylfaen" w:hAnsi="Sylfaen"/>
                <w:sz w:val="20"/>
                <w:szCs w:val="20"/>
                <w:lang w:val="ka-GE"/>
              </w:rPr>
              <w:t xml:space="preserve"> და მინისტრისა და მინისტრის შესაბამისი კურატორი მოადგილისთვის წარდგენას;</w:t>
            </w:r>
          </w:p>
          <w:p w:rsidR="00EF0096" w:rsidRPr="00F052A7" w:rsidRDefault="00EF0096" w:rsidP="00F052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ასრულებს სამმართველოს უფროსის, დეპარტამენტის უფროსის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="00F052A7" w:rsidRPr="00ED7957"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მინისტრის შესაბამისი 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კურატორი მოადგილის 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ცალკეულ დავალებებს;</w:t>
            </w:r>
          </w:p>
          <w:p w:rsidR="00EF0096" w:rsidRPr="00B75B39" w:rsidRDefault="00EF0096" w:rsidP="00B75B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ასრულებს რეზოლუციით და</w:t>
            </w:r>
            <w:r w:rsid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ვალებულ </w:t>
            </w:r>
            <w:r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</w:t>
            </w:r>
            <w:r w:rsidR="00335A01"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რესპონდენციას </w:t>
            </w:r>
            <w:r w:rsid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დადგენილ</w:t>
            </w:r>
            <w:r w:rsidR="00335A01"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ვადებში;</w:t>
            </w:r>
          </w:p>
          <w:p w:rsidR="00755DA9" w:rsidRPr="00B75B39" w:rsidRDefault="00EF0096" w:rsidP="00F361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ზემდგომი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თანამდებობის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დავალებით </w:t>
            </w:r>
            <w:r w:rsidR="00B75B39"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ახორციელებს კომუნიკაციას</w:t>
            </w:r>
            <w:r w:rsidR="00B75B39"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გარე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</w:t>
            </w:r>
            <w:r w:rsidR="00F361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სხვადასხვა სამთავრობო და არასამთავრობო სტრუქტურასთან, სამინისტროს ექსპერტებთან და სხვ. </w:t>
            </w:r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B75B3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 უფროსი; პოლიტიკის დეპარტამენტის უფროსი</w:t>
            </w:r>
            <w:r w:rsidR="0072125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მინისტრის </w:t>
            </w:r>
            <w:r w:rsidR="00B75B3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შესაბამისი კურატორი </w:t>
            </w:r>
            <w:r w:rsidR="0072125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B75B3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D077C7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– 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1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E330B1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9776D8" w:rsidTr="00266668">
        <w:trPr>
          <w:trHeight w:val="179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ორიენტაცია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მუშაობა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დამოუკიდებელი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მუშაობის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 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ანალიტიკური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აზროვნება</w:t>
            </w:r>
            <w:r w:rsidR="00D649C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-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გა</w:t>
            </w:r>
            <w:proofErr w:type="spellStart"/>
            <w:r w:rsidRPr="00721257">
              <w:rPr>
                <w:bCs/>
                <w:sz w:val="20"/>
                <w:szCs w:val="20"/>
              </w:rPr>
              <w:t>ანალიზ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ება</w:t>
            </w:r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და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გადაწყვეტა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საკუთარი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დაგეგმვისა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დროის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ეფექტიანი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="00721257"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721257" w:rsidRPr="00721257" w:rsidRDefault="008969EB" w:rsidP="00896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ნორმატიული დოკუმენტების პროექტების, </w:t>
            </w:r>
            <w:proofErr w:type="spellStart"/>
            <w:r w:rsidR="00721257" w:rsidRPr="00721257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="00721257" w:rsidRPr="0072125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21257">
              <w:rPr>
                <w:bCs/>
                <w:sz w:val="20"/>
                <w:szCs w:val="20"/>
              </w:rPr>
              <w:t>წერილების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721257" w:rsidRPr="00721257"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</w:tr>
    </w:tbl>
    <w:p w:rsidR="004A4DEF" w:rsidRDefault="00915DC5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6D52"/>
    <w:multiLevelType w:val="hybridMultilevel"/>
    <w:tmpl w:val="50F8A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A539A"/>
    <w:multiLevelType w:val="hybridMultilevel"/>
    <w:tmpl w:val="6FDC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1CE31DA"/>
    <w:multiLevelType w:val="hybridMultilevel"/>
    <w:tmpl w:val="4D3C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D3144"/>
    <w:multiLevelType w:val="hybridMultilevel"/>
    <w:tmpl w:val="71E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E7"/>
    <w:rsid w:val="000D47A2"/>
    <w:rsid w:val="000D76BB"/>
    <w:rsid w:val="001533E0"/>
    <w:rsid w:val="00266668"/>
    <w:rsid w:val="0033392F"/>
    <w:rsid w:val="00335A01"/>
    <w:rsid w:val="00360A9D"/>
    <w:rsid w:val="00395272"/>
    <w:rsid w:val="004064A5"/>
    <w:rsid w:val="004413E7"/>
    <w:rsid w:val="004A3493"/>
    <w:rsid w:val="004F16BC"/>
    <w:rsid w:val="00501F46"/>
    <w:rsid w:val="005123CE"/>
    <w:rsid w:val="005F44BE"/>
    <w:rsid w:val="00644AB3"/>
    <w:rsid w:val="00721257"/>
    <w:rsid w:val="00755DA9"/>
    <w:rsid w:val="007B367E"/>
    <w:rsid w:val="008969EB"/>
    <w:rsid w:val="008A6C97"/>
    <w:rsid w:val="008C78EF"/>
    <w:rsid w:val="00915DC5"/>
    <w:rsid w:val="00957F93"/>
    <w:rsid w:val="00A13B01"/>
    <w:rsid w:val="00AC7702"/>
    <w:rsid w:val="00AE2981"/>
    <w:rsid w:val="00B1067D"/>
    <w:rsid w:val="00B75B39"/>
    <w:rsid w:val="00BD3502"/>
    <w:rsid w:val="00C57AF3"/>
    <w:rsid w:val="00CA7CDD"/>
    <w:rsid w:val="00D649C2"/>
    <w:rsid w:val="00E330B1"/>
    <w:rsid w:val="00EA1FAA"/>
    <w:rsid w:val="00EB4B1E"/>
    <w:rsid w:val="00EF0096"/>
    <w:rsid w:val="00F052A7"/>
    <w:rsid w:val="00F361AA"/>
    <w:rsid w:val="00FB5C51"/>
    <w:rsid w:val="00FD46B3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styleId="NormalWeb">
    <w:name w:val="Normal (Web)"/>
    <w:basedOn w:val="Normal"/>
    <w:uiPriority w:val="99"/>
    <w:rsid w:val="00F052A7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styleId="NormalWeb">
    <w:name w:val="Normal (Web)"/>
    <w:basedOn w:val="Normal"/>
    <w:uiPriority w:val="99"/>
    <w:rsid w:val="00F052A7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Natenadze</dc:creator>
  <cp:lastModifiedBy>Nana Kalmakhelidze</cp:lastModifiedBy>
  <cp:revision>17</cp:revision>
  <cp:lastPrinted>2020-07-22T09:22:00Z</cp:lastPrinted>
  <dcterms:created xsi:type="dcterms:W3CDTF">2020-07-22T13:29:00Z</dcterms:created>
  <dcterms:modified xsi:type="dcterms:W3CDTF">2020-07-22T15:29:00Z</dcterms:modified>
</cp:coreProperties>
</file>